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1F8AEE7C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AF546F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Қазынашылықты ұйымдастыру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13"/>
        <w:gridCol w:w="1588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AC3641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7777777" w:rsidR="00D46EC1" w:rsidRPr="00432766" w:rsidRDefault="00D46EC1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77777777" w:rsidR="00D46EC1" w:rsidRPr="00E32206" w:rsidRDefault="00D46EC1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оқытушы басшылығымен өзіндік жұмысы (МОӨЖ)</w:t>
            </w:r>
          </w:p>
        </w:tc>
      </w:tr>
      <w:tr w:rsidR="00432766" w:rsidRPr="00E32206" w14:paraId="7D00EFE7" w14:textId="77777777" w:rsidTr="00AC364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gridSpan w:val="2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AC3641">
        <w:trPr>
          <w:trHeight w:val="365"/>
        </w:trPr>
        <w:tc>
          <w:tcPr>
            <w:tcW w:w="1387" w:type="dxa"/>
          </w:tcPr>
          <w:p w14:paraId="2800644F" w14:textId="28034D58" w:rsidR="00E32206" w:rsidRPr="00E32206" w:rsidRDefault="00E32206" w:rsidP="00DE0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30" w:type="dxa"/>
            <w:gridSpan w:val="2"/>
          </w:tcPr>
          <w:p w14:paraId="3214FA0D" w14:textId="7F3A0DC9" w:rsidR="00E32206" w:rsidRPr="002B4B37" w:rsidRDefault="00AC3641" w:rsidP="00AC36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Қазынашылықты ұйымдастыру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9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5BDD28A7" w14:textId="408039F3" w:rsidR="00B42D46" w:rsidRPr="00B42D46" w:rsidRDefault="00AC3641" w:rsidP="00B42D46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Қазынашылықты ұйымдастырудың теориялық аспектілерін оқып үйрену, оның ішінде студенттердің қаржы санаттарының байланыстылығы мен өзара іс-қимыл формаларын және ұйымдардың қаржылық қатнастарын ұйымдастыру, олардың әлеуметтік-экономикалық даму тәсілдерін қолдануды практикалық дайындықта және теориялық түрде түсінұлерін қамтамасыз ету.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409E8249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="00AC3641"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Pr="00B42D46">
              <w:rPr>
                <w:sz w:val="20"/>
                <w:szCs w:val="20"/>
                <w:lang w:val="kk-KZ"/>
              </w:rPr>
              <w:t xml:space="preserve">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2925AEF2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 xml:space="preserve">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4053A368" w:rsidR="00B42D46" w:rsidRPr="00B42D46" w:rsidRDefault="00AC3641" w:rsidP="00EB2F8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="00B42D46" w:rsidRPr="00B42D46">
              <w:rPr>
                <w:sz w:val="20"/>
                <w:szCs w:val="20"/>
                <w:lang w:val="kk-KZ"/>
              </w:rPr>
              <w:t>;</w:t>
            </w:r>
          </w:p>
          <w:p w14:paraId="038BA4BD" w14:textId="2D565D3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Pr="00B42D46">
              <w:rPr>
                <w:sz w:val="20"/>
                <w:szCs w:val="20"/>
                <w:lang w:val="kk-KZ"/>
              </w:rPr>
              <w:t>;</w:t>
            </w:r>
          </w:p>
          <w:p w14:paraId="1F3BA860" w14:textId="08F1D851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Ә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леуметтік-экономикалық даму тәсілдерін қолдануды практикалық дайындықта және теориялық түрде түсінулерін қамтамасыз ету</w:t>
            </w:r>
            <w:r w:rsidRPr="00B42D46">
              <w:rPr>
                <w:sz w:val="20"/>
                <w:szCs w:val="20"/>
                <w:lang w:val="kk-KZ"/>
              </w:rPr>
              <w:t>.</w:t>
            </w:r>
          </w:p>
          <w:p w14:paraId="4EB729D0" w14:textId="0E4504B8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Е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лдің қазынашылық саласындығы функциялық қызметінің негізгі құқығы туралы толық білулері керек</w:t>
            </w:r>
            <w:r w:rsidRPr="00B42D46">
              <w:rPr>
                <w:sz w:val="20"/>
                <w:szCs w:val="20"/>
                <w:lang w:val="kk-KZ"/>
              </w:rPr>
              <w:t xml:space="preserve">; </w:t>
            </w:r>
          </w:p>
          <w:p w14:paraId="63CC0094" w14:textId="3077F19E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негізгі бюджетке келіп түсетін шетел валютасы, шетел валютасының орындалуын білулері керек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ің функциялар мен міндеттерді оқу жағдайында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2B8A68FC" w:rsidR="00B42D46" w:rsidRPr="002B4B37" w:rsidRDefault="00AC3641" w:rsidP="002F6CF0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«Экономикалық теория», «Қаржы», «Мемлекеттік қаржы», «Мемлекеттік бюджет», «Корпорациялық қаржы»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5E138CF3" w:rsidR="00B42D46" w:rsidRPr="00AC3641" w:rsidRDefault="00AC3641" w:rsidP="00522539">
            <w:pPr>
              <w:rPr>
                <w:sz w:val="20"/>
                <w:szCs w:val="20"/>
                <w:lang w:val="kk-KZ"/>
              </w:rPr>
            </w:pPr>
            <w:r w:rsidRPr="00AC3641">
              <w:rPr>
                <w:bCs/>
                <w:iCs/>
                <w:color w:val="000000"/>
                <w:sz w:val="20"/>
                <w:szCs w:val="20"/>
                <w:lang w:val="kk-KZ"/>
              </w:rPr>
              <w:t>Қазынашылықты ұйымдастыруі» пәні аяқтаушы пәндерге жатады және студенттердің өндірістік тәжірибеден өткеннен кейінгі тапсыратын есебіне жазуда пайдалануға болады.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35F743B0" w14:textId="77777777" w:rsidR="00AC3641" w:rsidRPr="00824150" w:rsidRDefault="00AC3641" w:rsidP="00AC3641">
            <w:pPr>
              <w:tabs>
                <w:tab w:val="left" w:pos="602"/>
              </w:tabs>
              <w:ind w:firstLine="426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69EC807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Құлпыбаев С., Интықбаева С.Ж., Мельников В.Д «Қаржы» Жоғары оқу орындарына арналған оқұлық. Алматы, 670б. 2010ж</w:t>
            </w:r>
          </w:p>
          <w:p w14:paraId="3108502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К.К. Ильясов, С. Құлпыбаев,   Қаржы. Алматы, 2005, 552 б.</w:t>
            </w:r>
          </w:p>
          <w:p w14:paraId="26F7F7F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Интықбаева С.Ж «Фискалдық саясат және оның Қазақстан экономикасын дамытуды қамтамасыз ету рөлі» Алматы, Қаржы-Қаражат 2002</w:t>
            </w:r>
          </w:p>
          <w:p w14:paraId="11F03B4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Мельников В.Д «Қаржы, экономика негіздері»2005</w:t>
            </w:r>
          </w:p>
          <w:p w14:paraId="481F2BB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Исахова П.Б, Ильясов Қ.Қ «Мемлекеттік бюджеттін шығындары» 2000ж </w:t>
            </w:r>
          </w:p>
          <w:p w14:paraId="6EDD27A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Исахова П.Б, Янцен Н.А «Бюджеттік программалардың нәтижелік мониторингі» «Сарапшлардың аналитикалық баяндамалары» ОО «Салық мәдениетін қалыптастыру»</w:t>
            </w:r>
          </w:p>
          <w:p w14:paraId="35463A02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Концепция қалыптастыру және ҚР Ұлттық қорының орта мерзімді перспективасын қолдану қаражаты.</w:t>
            </w:r>
          </w:p>
          <w:p w14:paraId="622C359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Республикалық бюджет комиссияларының жағдайы туралы 24 тамыздың  2004 жыл № 1426 бап бекітілімдері.</w:t>
            </w:r>
          </w:p>
          <w:p w14:paraId="550FE98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Ережелерді жүргізудің маңызды бюджеттік программалар жүргізуді  бекіту. ҚР Үкіметі   21 шілде  2010 жылдан №779 бап.</w:t>
            </w:r>
          </w:p>
          <w:p w14:paraId="5E7E7818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Инвестициялық бюджет бағалау маңыздылығының ережелері туралы бекітілім. ҚР Үкімет  21 шілде  2009 жылдан бастап.</w:t>
            </w:r>
          </w:p>
          <w:p w14:paraId="34D21653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Қазақстан Республикасының Бюджет кодексі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4.12.2008 ж. (өзгертулер мен толықтыруларды қоса алғанда).</w:t>
            </w:r>
          </w:p>
          <w:p w14:paraId="7AAF2D50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Салықтар және бюджетке түсетін басқа да міндетті төлемдер туралы (Салық кодексі) 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>18.12.2008 ж. (өзгертулер мен толықтыруларды қоса алғанда).</w:t>
            </w:r>
          </w:p>
          <w:p w14:paraId="2D6A5AF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 xml:space="preserve">Кұлпыбаев </w:t>
            </w:r>
            <w:r w:rsidRPr="00AC3641">
              <w:rPr>
                <w:lang w:eastAsia="ko-KR"/>
              </w:rPr>
              <w:t xml:space="preserve">С.К., </w:t>
            </w:r>
            <w:r w:rsidRPr="00AC3641">
              <w:rPr>
                <w:lang w:val="kk-KZ" w:eastAsia="ko-KR"/>
              </w:rPr>
              <w:t xml:space="preserve">Интыкбаева С.Ж., </w:t>
            </w:r>
            <w:r w:rsidRPr="00AC3641">
              <w:rPr>
                <w:lang w:eastAsia="ko-KR"/>
              </w:rPr>
              <w:t>Мельников В.Д. «</w:t>
            </w:r>
            <w:r w:rsidRPr="00AC3641">
              <w:rPr>
                <w:lang w:val="kk-KZ" w:eastAsia="ko-KR"/>
              </w:rPr>
              <w:t>Қаржы</w:t>
            </w:r>
            <w:r w:rsidRPr="00AC3641">
              <w:rPr>
                <w:lang w:eastAsia="ko-KR"/>
              </w:rPr>
              <w:t>».</w:t>
            </w:r>
            <w:r w:rsidRPr="00AC3641">
              <w:rPr>
                <w:lang w:val="kk-KZ" w:eastAsia="ko-KR"/>
              </w:rPr>
              <w:t xml:space="preserve"> Оқулық для ВУЗов.- Алматы: РПБК « Дәуір» 2011 ж.</w:t>
            </w:r>
          </w:p>
          <w:p w14:paraId="6431586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>Ұлттық экономика. Оқулық. А.В. Сидоровичтің, Ә.Ә. Әбішевтің басқаруымен. – Алматы: Экономика баспасы, 2010 жыл.</w:t>
            </w:r>
          </w:p>
          <w:p w14:paraId="54184B1E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>Мельников В.Д. Финансы. Учебник.-Алматы: ТОО «</w:t>
            </w:r>
            <w:r w:rsidRPr="00AC3641">
              <w:rPr>
                <w:lang w:val="en-US" w:eastAsia="ko-KR"/>
              </w:rPr>
              <w:t>Print</w:t>
            </w:r>
            <w:r w:rsidRPr="00AC3641">
              <w:rPr>
                <w:lang w:eastAsia="ko-KR"/>
              </w:rPr>
              <w:t>-</w:t>
            </w:r>
            <w:r w:rsidRPr="00AC3641">
              <w:rPr>
                <w:lang w:val="en-US" w:eastAsia="ko-KR"/>
              </w:rPr>
              <w:t>S</w:t>
            </w:r>
            <w:r w:rsidRPr="00AC3641">
              <w:rPr>
                <w:lang w:eastAsia="ko-KR"/>
              </w:rPr>
              <w:t xml:space="preserve">», 2011 </w:t>
            </w:r>
            <w:r w:rsidRPr="00AC3641">
              <w:rPr>
                <w:lang w:val="kk-KZ" w:eastAsia="ko-KR"/>
              </w:rPr>
              <w:t>год.</w:t>
            </w:r>
          </w:p>
          <w:p w14:paraId="43069B7C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Финансы. Учебник.-Алматы: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»,2009</w:t>
            </w:r>
          </w:p>
          <w:p w14:paraId="6F87B8D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Основы финансов. Учебник.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  <w:r w:rsidRPr="00AC3641">
              <w:rPr>
                <w:lang w:val="kk-KZ" w:eastAsia="ko-KR"/>
              </w:rPr>
              <w:t>.</w:t>
            </w:r>
          </w:p>
          <w:p w14:paraId="44CBE7C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>Құ</w:t>
            </w:r>
            <w:proofErr w:type="spellStart"/>
            <w:r w:rsidRPr="00AC3641">
              <w:rPr>
                <w:lang w:eastAsia="ko-KR"/>
              </w:rPr>
              <w:t>лпыбаев</w:t>
            </w:r>
            <w:proofErr w:type="spellEnd"/>
            <w:r w:rsidRPr="00AC3641">
              <w:rPr>
                <w:lang w:eastAsia="ko-KR"/>
              </w:rPr>
              <w:t xml:space="preserve"> С.</w:t>
            </w:r>
            <w:r w:rsidRPr="00AC3641">
              <w:rPr>
                <w:lang w:val="kk-KZ" w:eastAsia="ko-KR"/>
              </w:rPr>
              <w:t>Қ</w:t>
            </w:r>
            <w:r w:rsidRPr="00AC3641">
              <w:rPr>
                <w:lang w:eastAsia="ko-KR"/>
              </w:rPr>
              <w:t xml:space="preserve">., Мельников В. Д.  </w:t>
            </w:r>
            <w:proofErr w:type="spellStart"/>
            <w:r w:rsidRPr="00AC3641">
              <w:rPr>
                <w:lang w:eastAsia="ko-KR"/>
              </w:rPr>
              <w:t>Каржы</w:t>
            </w:r>
            <w:proofErr w:type="spellEnd"/>
            <w:r w:rsidRPr="00AC3641">
              <w:rPr>
                <w:lang w:eastAsia="ko-KR"/>
              </w:rPr>
              <w:t xml:space="preserve"> нег</w:t>
            </w:r>
            <w:r w:rsidRPr="00AC3641">
              <w:rPr>
                <w:lang w:val="kk-KZ" w:eastAsia="ko-KR"/>
              </w:rPr>
              <w:t>і</w:t>
            </w:r>
            <w:proofErr w:type="spellStart"/>
            <w:r w:rsidRPr="00AC3641">
              <w:rPr>
                <w:lang w:eastAsia="ko-KR"/>
              </w:rPr>
              <w:t>здер</w:t>
            </w:r>
            <w:proofErr w:type="spellEnd"/>
            <w:r w:rsidRPr="00AC3641">
              <w:rPr>
                <w:lang w:val="kk-KZ" w:eastAsia="ko-KR"/>
              </w:rPr>
              <w:t>і</w:t>
            </w:r>
            <w:r w:rsidRPr="00AC3641">
              <w:rPr>
                <w:lang w:eastAsia="ko-KR"/>
              </w:rPr>
              <w:t xml:space="preserve">. Учебник для вузов.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</w:p>
          <w:p w14:paraId="5D88848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Интыкбаева С.Ж. Государственные финансы Алматы </w:t>
            </w:r>
            <w:r w:rsidRPr="00AC3641">
              <w:rPr>
                <w:lang w:eastAsia="ko-KR"/>
              </w:rPr>
              <w:t>ТОО «</w:t>
            </w:r>
            <w:r w:rsidRPr="00AC3641">
              <w:rPr>
                <w:lang w:val="kk-KZ" w:eastAsia="ko-KR"/>
              </w:rPr>
              <w:t>Эверо</w:t>
            </w:r>
            <w:r w:rsidRPr="00AC3641">
              <w:rPr>
                <w:lang w:eastAsia="ko-KR"/>
              </w:rPr>
              <w:t>»</w:t>
            </w:r>
            <w:r w:rsidRPr="00AC3641">
              <w:rPr>
                <w:lang w:val="kk-KZ" w:eastAsia="ko-KR"/>
              </w:rPr>
              <w:t xml:space="preserve"> 2007 год.</w:t>
            </w:r>
          </w:p>
          <w:p w14:paraId="59502B5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Маянлаева Г.И. Теория и практика страхового дела (в схемах, таблицах) Учебное пособие </w:t>
            </w:r>
            <w:r w:rsidRPr="00AC3641">
              <w:rPr>
                <w:lang w:eastAsia="ko-KR"/>
              </w:rPr>
              <w:t xml:space="preserve">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 xml:space="preserve">», </w:t>
            </w:r>
            <w:r w:rsidRPr="00AC3641">
              <w:rPr>
                <w:lang w:val="kk-KZ" w:eastAsia="ko-KR"/>
              </w:rPr>
              <w:t xml:space="preserve">2005год </w:t>
            </w:r>
          </w:p>
          <w:p w14:paraId="739AB63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С.М. Омирбаев, С.Ж. Интыкбаева, А.А. Адамбекова, Р.С. Парманова  Государственный бюджет </w:t>
            </w:r>
            <w:r w:rsidRPr="00AC3641">
              <w:rPr>
                <w:lang w:eastAsia="ko-KR"/>
              </w:rPr>
              <w:t xml:space="preserve">Учебник. – Алматы: ТОО </w:t>
            </w:r>
            <w:r w:rsidRPr="00AC3641">
              <w:rPr>
                <w:lang w:val="kk-KZ" w:eastAsia="ko-KR"/>
              </w:rPr>
              <w:t>РПИК</w:t>
            </w:r>
            <w:r w:rsidRPr="00AC3641">
              <w:rPr>
                <w:lang w:eastAsia="ko-KR"/>
              </w:rPr>
              <w:t xml:space="preserve"> «</w:t>
            </w:r>
            <w:r w:rsidRPr="00AC3641">
              <w:rPr>
                <w:lang w:val="kk-KZ" w:eastAsia="ko-KR"/>
              </w:rPr>
              <w:t>Дәуір</w:t>
            </w:r>
            <w:r w:rsidRPr="00AC3641">
              <w:rPr>
                <w:lang w:eastAsia="ko-KR"/>
              </w:rPr>
              <w:t>», 20</w:t>
            </w:r>
            <w:r w:rsidRPr="00AC3641">
              <w:rPr>
                <w:lang w:val="kk-KZ" w:eastAsia="ko-KR"/>
              </w:rPr>
              <w:t>11 год</w:t>
            </w:r>
          </w:p>
          <w:p w14:paraId="4F5BBA1D" w14:textId="09950BED" w:rsidR="00B42D46" w:rsidRPr="00B42D46" w:rsidRDefault="00B42D46" w:rsidP="002B4B37">
            <w:pPr>
              <w:rPr>
                <w:sz w:val="20"/>
                <w:szCs w:val="20"/>
                <w:lang w:val="kk-KZ"/>
              </w:rPr>
            </w:pP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7669D07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«Мемлекеттік қаржыларды жаңғырту» Афанасов М.П, Кривогов И.В  2007-439 бет</w:t>
            </w:r>
          </w:p>
          <w:p w14:paraId="46A2FB98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«Дефициттік экономика логикасы» Афанасов М.П 2004-160 бет</w:t>
            </w:r>
          </w:p>
          <w:p w14:paraId="759ADF31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«Бюджет құрылымының неіздері» Афанасов М.П 2004-243бет</w:t>
            </w:r>
          </w:p>
          <w:p w14:paraId="517146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қаржылық балансы және оны қолдану » Сычев Н.Г 2003-380бет</w:t>
            </w:r>
          </w:p>
          <w:p w14:paraId="01BD8992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қаржыларын басқару стратегиясы» Сычев Н.Г, Таксир К.И 2005-428бет</w:t>
            </w:r>
          </w:p>
          <w:p w14:paraId="5F534CD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қаржыларды бекітудің актуалды проблемалар» Сычев Н.Г, Таксир К.И  2004-416бет</w:t>
            </w:r>
          </w:p>
          <w:p w14:paraId="19B8247C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 қаржлық құқықтық қамтамасыз ету» Таксир К.И  2006-500бет</w:t>
            </w:r>
          </w:p>
          <w:p w14:paraId="485C78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жобалардың қаржылық құқықтық проблемалары» Таксир К.И  2006-297бет</w:t>
            </w:r>
          </w:p>
          <w:p w14:paraId="1E9AA136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қаржыларды басқару» Таксир К.И 2006-416 бет</w:t>
            </w:r>
          </w:p>
          <w:p w14:paraId="2D274E8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«Мемлекеттік басқарудың құрылымдары» Пикұлькин А.В   2007-639бет     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DE0BC8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DE0BC8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DE0BC8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lastRenderedPageBreak/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lastRenderedPageBreak/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орындалуына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орындалуына бақылау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lastRenderedPageBreak/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02"/>
    <w:multiLevelType w:val="hybridMultilevel"/>
    <w:tmpl w:val="9A6250A6"/>
    <w:lvl w:ilvl="0" w:tplc="8534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64E9D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C3641"/>
    <w:rsid w:val="00AF003C"/>
    <w:rsid w:val="00AF546F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0BC8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F1E0-719A-3C4C-B468-9CBD1F30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2215</Words>
  <Characters>12627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4</cp:revision>
  <dcterms:created xsi:type="dcterms:W3CDTF">2021-09-21T11:29:00Z</dcterms:created>
  <dcterms:modified xsi:type="dcterms:W3CDTF">2021-09-21T11:50:00Z</dcterms:modified>
</cp:coreProperties>
</file>